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A6F8C" w14:textId="1210F75D" w:rsidR="00EA002C" w:rsidRPr="00907947" w:rsidRDefault="00EA002C" w:rsidP="00907947">
      <w:pPr>
        <w:jc w:val="center"/>
        <w:rPr>
          <w:rFonts w:ascii="Arial" w:hAnsi="Arial" w:cs="Arial"/>
          <w:b/>
          <w:color w:val="000000" w:themeColor="text1"/>
          <w:u w:val="single"/>
        </w:rPr>
      </w:pPr>
      <w:bookmarkStart w:id="0" w:name="_GoBack"/>
      <w:bookmarkEnd w:id="0"/>
      <w:r w:rsidRPr="00907947">
        <w:rPr>
          <w:rFonts w:ascii="Arial" w:hAnsi="Arial" w:cs="Arial"/>
          <w:b/>
          <w:color w:val="000000" w:themeColor="text1"/>
          <w:u w:val="single"/>
        </w:rPr>
        <w:t xml:space="preserve">CARTA DE NOTIFICACIÓN A LOS SOCIOS COMERCIALES: POLÍTICA DE </w:t>
      </w:r>
      <w:r>
        <w:rPr>
          <w:rFonts w:ascii="Arial" w:hAnsi="Arial" w:cs="Arial"/>
          <w:b/>
          <w:color w:val="000000" w:themeColor="text1"/>
          <w:u w:val="single"/>
        </w:rPr>
        <w:t>C</w:t>
      </w:r>
      <w:r w:rsidRPr="00907947">
        <w:rPr>
          <w:rFonts w:ascii="Arial" w:hAnsi="Arial" w:cs="Arial"/>
          <w:b/>
          <w:color w:val="000000" w:themeColor="text1"/>
          <w:u w:val="single"/>
        </w:rPr>
        <w:t xml:space="preserve">UMPLIMIENTO </w:t>
      </w:r>
      <w:r>
        <w:rPr>
          <w:rFonts w:ascii="Arial" w:hAnsi="Arial" w:cs="Arial"/>
          <w:b/>
          <w:color w:val="000000" w:themeColor="text1"/>
          <w:u w:val="single"/>
        </w:rPr>
        <w:t>C</w:t>
      </w:r>
      <w:r w:rsidRPr="00907947">
        <w:rPr>
          <w:rFonts w:ascii="Arial" w:hAnsi="Arial" w:cs="Arial"/>
          <w:b/>
          <w:color w:val="000000" w:themeColor="text1"/>
          <w:u w:val="single"/>
        </w:rPr>
        <w:t xml:space="preserve">OMERCIAL DE </w:t>
      </w:r>
      <w:r>
        <w:rPr>
          <w:rFonts w:ascii="Arial" w:hAnsi="Arial" w:cs="Arial"/>
          <w:b/>
          <w:color w:val="000000" w:themeColor="text1"/>
          <w:u w:val="single"/>
        </w:rPr>
        <w:t xml:space="preserve">GRUPO </w:t>
      </w:r>
      <w:r w:rsidRPr="00907947">
        <w:rPr>
          <w:rFonts w:ascii="Arial" w:hAnsi="Arial" w:cs="Arial"/>
          <w:b/>
          <w:color w:val="000000" w:themeColor="text1"/>
          <w:u w:val="single"/>
        </w:rPr>
        <w:t>NETAFIM</w:t>
      </w:r>
    </w:p>
    <w:p w14:paraId="2E86041C" w14:textId="77777777" w:rsidR="00907947" w:rsidRPr="00907947" w:rsidRDefault="00907947" w:rsidP="00907947">
      <w:pPr>
        <w:jc w:val="both"/>
        <w:rPr>
          <w:rFonts w:ascii="Arial" w:hAnsi="Arial" w:cs="Arial"/>
        </w:rPr>
      </w:pPr>
    </w:p>
    <w:p w14:paraId="66586D21" w14:textId="328E6942" w:rsidR="00907947" w:rsidRPr="00907947" w:rsidRDefault="00907947" w:rsidP="00907947">
      <w:pPr>
        <w:jc w:val="both"/>
        <w:rPr>
          <w:rFonts w:ascii="Arial" w:hAnsi="Arial" w:cs="Arial"/>
          <w:b/>
        </w:rPr>
      </w:pPr>
      <w:r w:rsidRPr="00907947">
        <w:rPr>
          <w:rFonts w:ascii="Arial" w:hAnsi="Arial" w:cs="Arial"/>
          <w:b/>
        </w:rPr>
        <w:t xml:space="preserve">Para: </w:t>
      </w:r>
      <w:r w:rsidRPr="00EE1449">
        <w:rPr>
          <w:rFonts w:ascii="Arial" w:hAnsi="Arial" w:cs="Arial"/>
          <w:b/>
          <w:highlight w:val="yellow"/>
        </w:rPr>
        <w:t xml:space="preserve">(nombre del socio comercial potencial o </w:t>
      </w:r>
      <w:r w:rsidR="0015082C" w:rsidRPr="00EE1449">
        <w:rPr>
          <w:rFonts w:ascii="Arial" w:hAnsi="Arial" w:cs="Arial"/>
          <w:b/>
          <w:highlight w:val="yellow"/>
        </w:rPr>
        <w:t>actual</w:t>
      </w:r>
      <w:r w:rsidRPr="00EE1449">
        <w:rPr>
          <w:rFonts w:ascii="Arial" w:hAnsi="Arial" w:cs="Arial"/>
          <w:b/>
          <w:highlight w:val="yellow"/>
        </w:rPr>
        <w:t>)</w:t>
      </w:r>
    </w:p>
    <w:p w14:paraId="695F6559" w14:textId="1B4C9A62" w:rsidR="00907947" w:rsidRPr="00907947" w:rsidRDefault="00907947" w:rsidP="00907947">
      <w:pPr>
        <w:jc w:val="both"/>
        <w:rPr>
          <w:rFonts w:ascii="Arial" w:hAnsi="Arial" w:cs="Arial"/>
        </w:rPr>
      </w:pPr>
      <w:r w:rsidRPr="00907947">
        <w:rPr>
          <w:rFonts w:ascii="Arial" w:hAnsi="Arial" w:cs="Arial"/>
        </w:rPr>
        <w:t xml:space="preserve">1. </w:t>
      </w:r>
      <w:r w:rsidR="007D7E30">
        <w:rPr>
          <w:rFonts w:ascii="Arial" w:hAnsi="Arial" w:cs="Arial"/>
        </w:rPr>
        <w:t>La finalidad del presente documento</w:t>
      </w:r>
      <w:r w:rsidRPr="00907947">
        <w:rPr>
          <w:rFonts w:ascii="Arial" w:hAnsi="Arial" w:cs="Arial"/>
        </w:rPr>
        <w:t xml:space="preserve"> es para notificarle que el </w:t>
      </w:r>
      <w:r w:rsidR="0015082C">
        <w:rPr>
          <w:rFonts w:ascii="Arial" w:hAnsi="Arial" w:cs="Arial"/>
        </w:rPr>
        <w:t>G</w:t>
      </w:r>
      <w:r w:rsidRPr="00907947">
        <w:rPr>
          <w:rFonts w:ascii="Arial" w:hAnsi="Arial" w:cs="Arial"/>
        </w:rPr>
        <w:t>rupo Netafim ("la Compañía") tiene una política que establece instrucciones y pautas en cuanto a la implementación, supervisión y cumplimiento de la política comercial de la Compañía con respecto a la importación, exportación, sanciones y embargos y leyes</w:t>
      </w:r>
      <w:r w:rsidR="00A53B41">
        <w:rPr>
          <w:rFonts w:ascii="Arial" w:hAnsi="Arial" w:cs="Arial"/>
        </w:rPr>
        <w:t xml:space="preserve"> contra el boicot</w:t>
      </w:r>
      <w:r w:rsidRPr="00907947">
        <w:rPr>
          <w:rFonts w:ascii="Arial" w:hAnsi="Arial" w:cs="Arial"/>
        </w:rPr>
        <w:t>, tanto para sí mismo como para sus socios comerciales</w:t>
      </w:r>
      <w:r w:rsidRPr="00907947">
        <w:rPr>
          <w:rStyle w:val="Refdenotaalpie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0BC009C9" w14:textId="688325AF" w:rsidR="00907947" w:rsidRPr="00907947" w:rsidRDefault="00907947" w:rsidP="00907947">
      <w:pPr>
        <w:jc w:val="both"/>
        <w:rPr>
          <w:rFonts w:ascii="Arial" w:hAnsi="Arial" w:cs="Arial"/>
        </w:rPr>
      </w:pPr>
      <w:r w:rsidRPr="00907947">
        <w:rPr>
          <w:rFonts w:ascii="Arial" w:hAnsi="Arial" w:cs="Arial"/>
        </w:rPr>
        <w:t xml:space="preserve">2. Los </w:t>
      </w:r>
      <w:r w:rsidR="007D7E30">
        <w:rPr>
          <w:rFonts w:ascii="Arial" w:hAnsi="Arial" w:cs="Arial"/>
        </w:rPr>
        <w:t>lineamientos</w:t>
      </w:r>
      <w:r w:rsidR="007D7E30" w:rsidRPr="00907947">
        <w:rPr>
          <w:rFonts w:ascii="Arial" w:hAnsi="Arial" w:cs="Arial"/>
        </w:rPr>
        <w:t xml:space="preserve"> </w:t>
      </w:r>
      <w:r w:rsidRPr="00907947">
        <w:rPr>
          <w:rFonts w:ascii="Arial" w:hAnsi="Arial" w:cs="Arial"/>
        </w:rPr>
        <w:t>principales de esa política son los siguientes:</w:t>
      </w:r>
    </w:p>
    <w:p w14:paraId="6144208F" w14:textId="4911D7BA" w:rsidR="00907947" w:rsidRPr="009738A0" w:rsidRDefault="00A53B41" w:rsidP="009738A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738A0">
        <w:rPr>
          <w:rFonts w:ascii="Arial" w:hAnsi="Arial" w:cs="Arial"/>
        </w:rPr>
        <w:t>Cumplimiento</w:t>
      </w:r>
      <w:r w:rsidR="0015082C">
        <w:rPr>
          <w:rFonts w:ascii="Arial" w:hAnsi="Arial" w:cs="Arial"/>
        </w:rPr>
        <w:t xml:space="preserve"> regulatorio</w:t>
      </w:r>
      <w:r w:rsidRPr="009738A0">
        <w:rPr>
          <w:rFonts w:ascii="Arial" w:hAnsi="Arial" w:cs="Arial"/>
        </w:rPr>
        <w:t xml:space="preserve"> de importación/exportación</w:t>
      </w:r>
      <w:r w:rsidR="0015082C">
        <w:rPr>
          <w:rFonts w:ascii="Arial" w:hAnsi="Arial" w:cs="Arial"/>
        </w:rPr>
        <w:t xml:space="preserve"> -</w:t>
      </w:r>
      <w:r w:rsidRPr="009738A0">
        <w:rPr>
          <w:rFonts w:ascii="Arial" w:hAnsi="Arial" w:cs="Arial"/>
        </w:rPr>
        <w:t xml:space="preserve"> </w:t>
      </w:r>
      <w:r w:rsidR="0015082C">
        <w:rPr>
          <w:rFonts w:ascii="Arial" w:hAnsi="Arial" w:cs="Arial"/>
        </w:rPr>
        <w:t>L</w:t>
      </w:r>
      <w:r w:rsidRPr="009738A0">
        <w:rPr>
          <w:rFonts w:ascii="Arial" w:hAnsi="Arial" w:cs="Arial"/>
        </w:rPr>
        <w:t>eyes de importación/</w:t>
      </w:r>
      <w:r w:rsidR="00907947" w:rsidRPr="009738A0">
        <w:rPr>
          <w:rFonts w:ascii="Arial" w:hAnsi="Arial" w:cs="Arial"/>
        </w:rPr>
        <w:t>exportación son complejas y el personal debe conocer y cumplir con los requisitos aplicables de la</w:t>
      </w:r>
      <w:r w:rsidR="0015082C">
        <w:rPr>
          <w:rFonts w:ascii="Arial" w:hAnsi="Arial" w:cs="Arial"/>
        </w:rPr>
        <w:t>s</w:t>
      </w:r>
      <w:r w:rsidR="00907947" w:rsidRPr="009738A0">
        <w:rPr>
          <w:rFonts w:ascii="Arial" w:hAnsi="Arial" w:cs="Arial"/>
        </w:rPr>
        <w:t xml:space="preserve"> misma</w:t>
      </w:r>
      <w:r w:rsidR="0015082C">
        <w:rPr>
          <w:rFonts w:ascii="Arial" w:hAnsi="Arial" w:cs="Arial"/>
        </w:rPr>
        <w:t>s</w:t>
      </w:r>
      <w:r w:rsidR="00907947" w:rsidRPr="009738A0">
        <w:rPr>
          <w:rFonts w:ascii="Arial" w:hAnsi="Arial" w:cs="Arial"/>
        </w:rPr>
        <w:t>.</w:t>
      </w:r>
    </w:p>
    <w:p w14:paraId="0DA2052A" w14:textId="0A499F51" w:rsidR="00907947" w:rsidRPr="009738A0" w:rsidRDefault="00A53B41" w:rsidP="009738A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738A0">
        <w:rPr>
          <w:rFonts w:ascii="Arial" w:hAnsi="Arial" w:cs="Arial"/>
        </w:rPr>
        <w:t>Sanciones y embargos: V</w:t>
      </w:r>
      <w:r w:rsidR="00907947" w:rsidRPr="009738A0">
        <w:rPr>
          <w:rFonts w:ascii="Arial" w:hAnsi="Arial" w:cs="Arial"/>
        </w:rPr>
        <w:t xml:space="preserve">arios países y organizaciones internacionales imponen diversas sanciones comerciales o embargos contra otros países o individuos específicos que también deben tenerse en cuenta al comerciar </w:t>
      </w:r>
      <w:r w:rsidR="007D7E30">
        <w:rPr>
          <w:rFonts w:ascii="Arial" w:hAnsi="Arial" w:cs="Arial"/>
        </w:rPr>
        <w:t>con</w:t>
      </w:r>
      <w:r w:rsidR="00907947" w:rsidRPr="009738A0">
        <w:rPr>
          <w:rFonts w:ascii="Arial" w:hAnsi="Arial" w:cs="Arial"/>
        </w:rPr>
        <w:t xml:space="preserve"> dichos países (por ejemplo, sanciones contra Irán, el embargo impuesto </w:t>
      </w:r>
      <w:r w:rsidR="0015082C">
        <w:rPr>
          <w:rFonts w:ascii="Arial" w:hAnsi="Arial" w:cs="Arial"/>
        </w:rPr>
        <w:t>a</w:t>
      </w:r>
      <w:r w:rsidR="00907947" w:rsidRPr="009738A0">
        <w:rPr>
          <w:rFonts w:ascii="Arial" w:hAnsi="Arial" w:cs="Arial"/>
        </w:rPr>
        <w:t xml:space="preserve"> Cuba </w:t>
      </w:r>
      <w:r w:rsidR="0015082C">
        <w:rPr>
          <w:rFonts w:ascii="Arial" w:hAnsi="Arial" w:cs="Arial"/>
        </w:rPr>
        <w:t>por</w:t>
      </w:r>
      <w:r w:rsidR="00907947" w:rsidRPr="009738A0">
        <w:rPr>
          <w:rFonts w:ascii="Arial" w:hAnsi="Arial" w:cs="Arial"/>
        </w:rPr>
        <w:t xml:space="preserve"> los Estados Unidos</w:t>
      </w:r>
      <w:r w:rsidR="0015082C">
        <w:rPr>
          <w:rFonts w:ascii="Arial" w:hAnsi="Arial" w:cs="Arial"/>
        </w:rPr>
        <w:t xml:space="preserve"> de América</w:t>
      </w:r>
      <w:r w:rsidR="00907947" w:rsidRPr="009738A0">
        <w:rPr>
          <w:rFonts w:ascii="Arial" w:hAnsi="Arial" w:cs="Arial"/>
        </w:rPr>
        <w:t>).</w:t>
      </w:r>
    </w:p>
    <w:p w14:paraId="1BACCF5D" w14:textId="457199C0" w:rsidR="00907947" w:rsidRPr="009738A0" w:rsidRDefault="00A53B41" w:rsidP="009738A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738A0">
        <w:rPr>
          <w:rFonts w:ascii="Arial" w:hAnsi="Arial" w:cs="Arial"/>
        </w:rPr>
        <w:t>Leyes contra el boicot: C</w:t>
      </w:r>
      <w:r w:rsidR="00907947" w:rsidRPr="009738A0">
        <w:rPr>
          <w:rFonts w:ascii="Arial" w:hAnsi="Arial" w:cs="Arial"/>
        </w:rPr>
        <w:t xml:space="preserve">onciencia y cumplimiento de las leyes locales que prohíben a las personas </w:t>
      </w:r>
      <w:r w:rsidR="007A2F4F">
        <w:rPr>
          <w:rFonts w:ascii="Arial" w:hAnsi="Arial" w:cs="Arial"/>
        </w:rPr>
        <w:t xml:space="preserve">naturales </w:t>
      </w:r>
      <w:r w:rsidR="00907947" w:rsidRPr="009738A0">
        <w:rPr>
          <w:rFonts w:ascii="Arial" w:hAnsi="Arial" w:cs="Arial"/>
        </w:rPr>
        <w:t xml:space="preserve">y </w:t>
      </w:r>
      <w:r w:rsidR="007A2F4F">
        <w:rPr>
          <w:rFonts w:ascii="Arial" w:hAnsi="Arial" w:cs="Arial"/>
        </w:rPr>
        <w:t>personas</w:t>
      </w:r>
      <w:r w:rsidR="007A2F4F" w:rsidRPr="009738A0">
        <w:rPr>
          <w:rFonts w:ascii="Arial" w:hAnsi="Arial" w:cs="Arial"/>
        </w:rPr>
        <w:t xml:space="preserve"> </w:t>
      </w:r>
      <w:r w:rsidR="00907947" w:rsidRPr="009738A0">
        <w:rPr>
          <w:rFonts w:ascii="Arial" w:hAnsi="Arial" w:cs="Arial"/>
        </w:rPr>
        <w:t>jurídicas participar o cooperar con embargos o sanciones comerciales internacionales</w:t>
      </w:r>
    </w:p>
    <w:p w14:paraId="4F9BD19D" w14:textId="3C493D47" w:rsidR="00907947" w:rsidRPr="00907947" w:rsidRDefault="00907947" w:rsidP="00907947">
      <w:pPr>
        <w:jc w:val="both"/>
        <w:rPr>
          <w:rFonts w:ascii="Arial" w:hAnsi="Arial" w:cs="Arial"/>
        </w:rPr>
      </w:pPr>
      <w:r w:rsidRPr="00907947">
        <w:rPr>
          <w:rFonts w:ascii="Arial" w:hAnsi="Arial" w:cs="Arial"/>
        </w:rPr>
        <w:t xml:space="preserve">3. Todos los </w:t>
      </w:r>
      <w:r w:rsidR="00BA0C06" w:rsidRPr="00BA0C06">
        <w:rPr>
          <w:rFonts w:ascii="Arial" w:hAnsi="Arial" w:cs="Arial"/>
        </w:rPr>
        <w:t xml:space="preserve">Socios comerciales </w:t>
      </w:r>
      <w:r w:rsidRPr="00907947">
        <w:rPr>
          <w:rFonts w:ascii="Arial" w:hAnsi="Arial" w:cs="Arial"/>
        </w:rPr>
        <w:t>deben cumplir con la siguiente representación y garantías:</w:t>
      </w:r>
    </w:p>
    <w:p w14:paraId="27C56208" w14:textId="6C40584E" w:rsidR="00907947" w:rsidRPr="00D54E71" w:rsidRDefault="00907947" w:rsidP="00D54E7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738A0">
        <w:rPr>
          <w:rFonts w:ascii="Arial" w:hAnsi="Arial" w:cs="Arial"/>
        </w:rPr>
        <w:t xml:space="preserve">El </w:t>
      </w:r>
      <w:r w:rsidR="00BA0C06" w:rsidRPr="00BA0C06">
        <w:rPr>
          <w:rFonts w:ascii="Arial" w:hAnsi="Arial" w:cs="Arial"/>
        </w:rPr>
        <w:t>Socio comercial</w:t>
      </w:r>
      <w:r w:rsidR="009738A0">
        <w:rPr>
          <w:rFonts w:ascii="Arial" w:hAnsi="Arial" w:cs="Arial"/>
        </w:rPr>
        <w:t xml:space="preserve">: </w:t>
      </w:r>
      <w:r w:rsidRPr="009738A0">
        <w:rPr>
          <w:rFonts w:ascii="Arial" w:hAnsi="Arial" w:cs="Arial"/>
        </w:rPr>
        <w:t>(a) no es una Persona s</w:t>
      </w:r>
      <w:r w:rsidR="00D54E71">
        <w:rPr>
          <w:rFonts w:ascii="Arial" w:hAnsi="Arial" w:cs="Arial"/>
        </w:rPr>
        <w:t>ancionada, (b) no ha estado involucrado</w:t>
      </w:r>
      <w:r w:rsidRPr="009738A0">
        <w:rPr>
          <w:rFonts w:ascii="Arial" w:hAnsi="Arial" w:cs="Arial"/>
        </w:rPr>
        <w:t>, en los últimos cinco (5) años</w:t>
      </w:r>
      <w:r w:rsidR="00D54E71">
        <w:rPr>
          <w:rFonts w:ascii="Arial" w:hAnsi="Arial" w:cs="Arial"/>
        </w:rPr>
        <w:t xml:space="preserve">, en ningún plan o compromiso </w:t>
      </w:r>
      <w:r w:rsidRPr="00D54E71">
        <w:rPr>
          <w:rFonts w:ascii="Arial" w:hAnsi="Arial" w:cs="Arial"/>
        </w:rPr>
        <w:t>en tratos directos o indirectos con ninguna Persona sanciona</w:t>
      </w:r>
      <w:r w:rsidR="009738A0" w:rsidRPr="00D54E71">
        <w:rPr>
          <w:rFonts w:ascii="Arial" w:hAnsi="Arial" w:cs="Arial"/>
        </w:rPr>
        <w:t>da en ningún País sancionado</w:t>
      </w:r>
      <w:r w:rsidRPr="00D54E71">
        <w:rPr>
          <w:rFonts w:ascii="Arial" w:hAnsi="Arial" w:cs="Arial"/>
        </w:rPr>
        <w:t xml:space="preserve">, o (c) en los últimos cinco (5) años </w:t>
      </w:r>
      <w:r w:rsidR="009738A0" w:rsidRPr="00D54E71">
        <w:rPr>
          <w:rFonts w:ascii="Arial" w:hAnsi="Arial" w:cs="Arial"/>
        </w:rPr>
        <w:t xml:space="preserve">no </w:t>
      </w:r>
      <w:r w:rsidRPr="00D54E71">
        <w:rPr>
          <w:rFonts w:ascii="Arial" w:hAnsi="Arial" w:cs="Arial"/>
        </w:rPr>
        <w:t xml:space="preserve">ha violado o participado en cualquier conducta sancionable bajo cualquier Ley de Sanciones, ni ha sido objeto de una investigación o denuncia de tal violación o conducta sancionable. El </w:t>
      </w:r>
      <w:r w:rsidR="00BA0C06" w:rsidRPr="00BA0C06">
        <w:rPr>
          <w:rFonts w:ascii="Arial" w:hAnsi="Arial" w:cs="Arial"/>
        </w:rPr>
        <w:t>Socio comercial</w:t>
      </w:r>
      <w:r w:rsidR="00BA0C06" w:rsidRPr="00D54E71">
        <w:rPr>
          <w:rFonts w:ascii="Arial" w:hAnsi="Arial" w:cs="Arial"/>
        </w:rPr>
        <w:t xml:space="preserve"> </w:t>
      </w:r>
      <w:r w:rsidRPr="00D54E71">
        <w:rPr>
          <w:rFonts w:ascii="Arial" w:hAnsi="Arial" w:cs="Arial"/>
        </w:rPr>
        <w:t>se comportará de acuerdo con las Leyes de Sanción a los efectos de este Acuerdo.</w:t>
      </w:r>
    </w:p>
    <w:p w14:paraId="5A4E9942" w14:textId="154CA50A" w:rsidR="00907947" w:rsidRDefault="009738A0" w:rsidP="009738A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07947" w:rsidRPr="009738A0">
        <w:rPr>
          <w:rFonts w:ascii="Arial" w:hAnsi="Arial" w:cs="Arial"/>
        </w:rPr>
        <w:t xml:space="preserve"> los fines del presente documento, "Persona Sancionada" significa, en cualquier momento, (a) cualquier persona</w:t>
      </w:r>
      <w:r w:rsidR="007D7E30">
        <w:rPr>
          <w:rFonts w:ascii="Arial" w:hAnsi="Arial" w:cs="Arial"/>
        </w:rPr>
        <w:t xml:space="preserve"> natural y/o jurídica</w:t>
      </w:r>
      <w:r w:rsidR="00907947" w:rsidRPr="009738A0">
        <w:rPr>
          <w:rFonts w:ascii="Arial" w:hAnsi="Arial" w:cs="Arial"/>
        </w:rPr>
        <w:t xml:space="preserve"> incluida en una lista relacionada con sanciones de Personas designadas mantenida por la Oficina de Control de Activos Extranjeros del Departamento del Tesoro de los Estados Unidos</w:t>
      </w:r>
      <w:r w:rsidR="0015082C">
        <w:rPr>
          <w:rFonts w:ascii="Arial" w:hAnsi="Arial" w:cs="Arial"/>
        </w:rPr>
        <w:t xml:space="preserve"> de América</w:t>
      </w:r>
      <w:r w:rsidR="00907947" w:rsidRPr="009738A0">
        <w:rPr>
          <w:rFonts w:ascii="Arial" w:hAnsi="Arial" w:cs="Arial"/>
        </w:rPr>
        <w:t>, el Departamento de Hacienda de los Estados Unidos</w:t>
      </w:r>
      <w:r w:rsidR="0015082C">
        <w:rPr>
          <w:rFonts w:ascii="Arial" w:hAnsi="Arial" w:cs="Arial"/>
        </w:rPr>
        <w:t xml:space="preserve"> de América</w:t>
      </w:r>
      <w:r w:rsidR="00907947" w:rsidRPr="009738A0">
        <w:rPr>
          <w:rFonts w:ascii="Arial" w:hAnsi="Arial" w:cs="Arial"/>
        </w:rPr>
        <w:t xml:space="preserve">. Estado, o por el Consejo de Seguridad de las Naciones Unidas, la Unión Europea o cualquier estado miembro de la Unión Europea, (b) cualquier </w:t>
      </w:r>
      <w:r w:rsidR="00907947" w:rsidRPr="009738A0">
        <w:rPr>
          <w:rFonts w:ascii="Arial" w:hAnsi="Arial" w:cs="Arial"/>
        </w:rPr>
        <w:lastRenderedPageBreak/>
        <w:t xml:space="preserve">Persona que opere, organice o resida en un País Sancionado o (c) cualquier Persona que </w:t>
      </w:r>
      <w:r w:rsidR="000509B3">
        <w:rPr>
          <w:rFonts w:ascii="Arial" w:hAnsi="Arial" w:cs="Arial"/>
        </w:rPr>
        <w:t>sea propietaria</w:t>
      </w:r>
      <w:r w:rsidR="00907947" w:rsidRPr="009738A0">
        <w:rPr>
          <w:rFonts w:ascii="Arial" w:hAnsi="Arial" w:cs="Arial"/>
        </w:rPr>
        <w:t xml:space="preserve"> o esté bajo el control de la Persona o Personas descritas en las cláusulas anteriores (a) o (b).</w:t>
      </w:r>
    </w:p>
    <w:p w14:paraId="2A9561C0" w14:textId="77777777" w:rsidR="00E05BF7" w:rsidRPr="009738A0" w:rsidRDefault="00E05BF7" w:rsidP="00E05BF7">
      <w:pPr>
        <w:pStyle w:val="Prrafodelista"/>
        <w:ind w:left="502"/>
        <w:jc w:val="both"/>
        <w:rPr>
          <w:rFonts w:ascii="Arial" w:hAnsi="Arial" w:cs="Arial"/>
        </w:rPr>
      </w:pPr>
    </w:p>
    <w:p w14:paraId="145A5657" w14:textId="36EA3146" w:rsidR="00907947" w:rsidRPr="008E6B66" w:rsidRDefault="009738A0" w:rsidP="009738A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"País </w:t>
      </w:r>
      <w:r w:rsidR="000509B3">
        <w:rPr>
          <w:rFonts w:ascii="Arial" w:hAnsi="Arial" w:cs="Arial"/>
        </w:rPr>
        <w:t>S</w:t>
      </w:r>
      <w:r>
        <w:rPr>
          <w:rFonts w:ascii="Arial" w:hAnsi="Arial" w:cs="Arial"/>
        </w:rPr>
        <w:t>ancionado": S</w:t>
      </w:r>
      <w:r w:rsidR="00907947" w:rsidRPr="009738A0">
        <w:rPr>
          <w:rFonts w:ascii="Arial" w:hAnsi="Arial" w:cs="Arial"/>
        </w:rPr>
        <w:t>ignifica en cualquier momento, un país o ter</w:t>
      </w:r>
      <w:r>
        <w:rPr>
          <w:rFonts w:ascii="Arial" w:hAnsi="Arial" w:cs="Arial"/>
        </w:rPr>
        <w:t>ritorio que es objeto o blanco</w:t>
      </w:r>
      <w:r w:rsidR="00907947" w:rsidRPr="009738A0">
        <w:rPr>
          <w:rFonts w:ascii="Arial" w:hAnsi="Arial" w:cs="Arial"/>
        </w:rPr>
        <w:t xml:space="preserve"> de cualquier sanción, así como, en cualquier momento</w:t>
      </w:r>
      <w:r w:rsidR="00907947" w:rsidRPr="008E6B66">
        <w:rPr>
          <w:rFonts w:ascii="Arial" w:hAnsi="Arial" w:cs="Arial"/>
        </w:rPr>
        <w:t>, Siria, Irán y Líbano.</w:t>
      </w:r>
    </w:p>
    <w:p w14:paraId="68AF0784" w14:textId="40415B4C" w:rsidR="00907947" w:rsidRPr="009738A0" w:rsidRDefault="00A53B41" w:rsidP="009738A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738A0">
        <w:rPr>
          <w:rFonts w:ascii="Arial" w:hAnsi="Arial" w:cs="Arial"/>
        </w:rPr>
        <w:t>"Leyes de sanción</w:t>
      </w:r>
      <w:r w:rsidR="00907947" w:rsidRPr="009738A0">
        <w:rPr>
          <w:rFonts w:ascii="Arial" w:hAnsi="Arial" w:cs="Arial"/>
        </w:rPr>
        <w:t>"</w:t>
      </w:r>
      <w:r w:rsidRPr="009738A0">
        <w:rPr>
          <w:rFonts w:ascii="Arial" w:hAnsi="Arial" w:cs="Arial"/>
        </w:rPr>
        <w:t>: S</w:t>
      </w:r>
      <w:r w:rsidR="00907947" w:rsidRPr="009738A0">
        <w:rPr>
          <w:rFonts w:ascii="Arial" w:hAnsi="Arial" w:cs="Arial"/>
        </w:rPr>
        <w:t>e refiere a las leyes y órdenes ejecutivas de lo</w:t>
      </w:r>
      <w:r w:rsidR="00BA1A37">
        <w:rPr>
          <w:rFonts w:ascii="Arial" w:hAnsi="Arial" w:cs="Arial"/>
        </w:rPr>
        <w:t xml:space="preserve">s Estados Unidos de América, del </w:t>
      </w:r>
      <w:r w:rsidR="00907947" w:rsidRPr="009738A0">
        <w:rPr>
          <w:rFonts w:ascii="Arial" w:hAnsi="Arial" w:cs="Arial"/>
        </w:rPr>
        <w:t xml:space="preserve">Consejo de Seguridad de las Naciones Unidas, la Unión Europea y el Reino Unido, y las leyes aplicables de las jurisdicciones bajo las cuales opera el </w:t>
      </w:r>
      <w:r w:rsidR="00BA0C06" w:rsidRPr="00BA0C06">
        <w:rPr>
          <w:rFonts w:ascii="Arial" w:hAnsi="Arial" w:cs="Arial"/>
        </w:rPr>
        <w:t>Socio comercial</w:t>
      </w:r>
      <w:r w:rsidR="00907947" w:rsidRPr="009738A0">
        <w:rPr>
          <w:rFonts w:ascii="Arial" w:hAnsi="Arial" w:cs="Arial"/>
        </w:rPr>
        <w:t>, imponiendo sanciones económicas o financieras o embargos co</w:t>
      </w:r>
      <w:r w:rsidRPr="009738A0">
        <w:rPr>
          <w:rFonts w:ascii="Arial" w:hAnsi="Arial" w:cs="Arial"/>
        </w:rPr>
        <w:t xml:space="preserve">merciales, </w:t>
      </w:r>
      <w:r w:rsidR="00907947" w:rsidRPr="009738A0">
        <w:rPr>
          <w:rFonts w:ascii="Arial" w:hAnsi="Arial" w:cs="Arial"/>
        </w:rPr>
        <w:t>y regulaciones que implementan tales leyes y órdenes ejecutivas.</w:t>
      </w:r>
    </w:p>
    <w:p w14:paraId="1DC050D6" w14:textId="77777777" w:rsidR="00907947" w:rsidRPr="00907947" w:rsidRDefault="00907947" w:rsidP="00907947">
      <w:pPr>
        <w:jc w:val="both"/>
        <w:rPr>
          <w:rFonts w:ascii="Arial" w:hAnsi="Arial" w:cs="Arial"/>
        </w:rPr>
      </w:pPr>
    </w:p>
    <w:p w14:paraId="75E9DB36" w14:textId="77777777" w:rsidR="00907947" w:rsidRPr="00907947" w:rsidRDefault="00907947" w:rsidP="00907947">
      <w:pPr>
        <w:jc w:val="both"/>
        <w:rPr>
          <w:rFonts w:ascii="Arial" w:hAnsi="Arial" w:cs="Arial"/>
        </w:rPr>
      </w:pPr>
      <w:r w:rsidRPr="00907947">
        <w:rPr>
          <w:rFonts w:ascii="Arial" w:hAnsi="Arial" w:cs="Arial"/>
        </w:rPr>
        <w:t>Atentamente,</w:t>
      </w:r>
    </w:p>
    <w:p w14:paraId="278B8CAC" w14:textId="77777777" w:rsidR="00907947" w:rsidRPr="00A53B41" w:rsidRDefault="00907947" w:rsidP="00907947">
      <w:pPr>
        <w:jc w:val="both"/>
        <w:rPr>
          <w:rFonts w:ascii="Arial" w:hAnsi="Arial" w:cs="Arial"/>
          <w:b/>
        </w:rPr>
      </w:pPr>
      <w:r w:rsidRPr="00A53B41">
        <w:rPr>
          <w:rFonts w:ascii="Arial" w:hAnsi="Arial" w:cs="Arial"/>
          <w:b/>
        </w:rPr>
        <w:t>Grupo NETAFIM</w:t>
      </w:r>
    </w:p>
    <w:p w14:paraId="2FA0653F" w14:textId="77777777" w:rsidR="00907947" w:rsidRPr="00907947" w:rsidRDefault="00907947" w:rsidP="00907947">
      <w:pPr>
        <w:jc w:val="both"/>
        <w:rPr>
          <w:rFonts w:ascii="Arial" w:hAnsi="Arial" w:cs="Arial"/>
        </w:rPr>
      </w:pPr>
    </w:p>
    <w:p w14:paraId="3758F5A8" w14:textId="77777777" w:rsidR="009738A0" w:rsidRDefault="009738A0" w:rsidP="00907947">
      <w:pPr>
        <w:jc w:val="both"/>
        <w:rPr>
          <w:rFonts w:ascii="Arial" w:hAnsi="Arial" w:cs="Arial"/>
        </w:rPr>
      </w:pPr>
    </w:p>
    <w:p w14:paraId="6AD50AB7" w14:textId="77777777" w:rsidR="00907947" w:rsidRPr="00907947" w:rsidRDefault="00907947" w:rsidP="00907947">
      <w:pPr>
        <w:jc w:val="both"/>
        <w:rPr>
          <w:rFonts w:ascii="Arial" w:hAnsi="Arial" w:cs="Arial"/>
        </w:rPr>
      </w:pPr>
      <w:r w:rsidRPr="00EE1449">
        <w:rPr>
          <w:rFonts w:ascii="Arial" w:hAnsi="Arial" w:cs="Arial"/>
          <w:highlight w:val="yellow"/>
        </w:rPr>
        <w:t>Nosotros (nombre de la empresa)</w:t>
      </w:r>
      <w:r w:rsidRPr="00907947">
        <w:rPr>
          <w:rFonts w:ascii="Arial" w:hAnsi="Arial" w:cs="Arial"/>
        </w:rPr>
        <w:t xml:space="preserve"> confirmamos por la presente que hemos recibido y leído el </w:t>
      </w:r>
      <w:r w:rsidR="009738A0">
        <w:rPr>
          <w:rFonts w:ascii="Arial" w:hAnsi="Arial" w:cs="Arial"/>
        </w:rPr>
        <w:t>aviso anterior, y conocemos la Política C</w:t>
      </w:r>
      <w:r w:rsidRPr="00907947">
        <w:rPr>
          <w:rFonts w:ascii="Arial" w:hAnsi="Arial" w:cs="Arial"/>
        </w:rPr>
        <w:t>omercial de Netafim para sí misma y también para sus Socios comerciales, y aceptamos cumplir con todos los requisitos para garantiza</w:t>
      </w:r>
      <w:r w:rsidR="00A53B41">
        <w:rPr>
          <w:rFonts w:ascii="Arial" w:hAnsi="Arial" w:cs="Arial"/>
        </w:rPr>
        <w:t>r que dicha política se cumpla</w:t>
      </w:r>
      <w:r w:rsidRPr="00907947">
        <w:rPr>
          <w:rFonts w:ascii="Arial" w:hAnsi="Arial" w:cs="Arial"/>
        </w:rPr>
        <w:t xml:space="preserve"> y se compromete específicamente a adherirse a la sección 3 de la carta anterior.</w:t>
      </w:r>
    </w:p>
    <w:p w14:paraId="0A0902C6" w14:textId="77777777" w:rsidR="00907947" w:rsidRPr="00907947" w:rsidRDefault="00907947" w:rsidP="00907947">
      <w:pPr>
        <w:jc w:val="both"/>
        <w:rPr>
          <w:rFonts w:ascii="Arial" w:hAnsi="Arial" w:cs="Arial"/>
        </w:rPr>
      </w:pPr>
      <w:r w:rsidRPr="00907947">
        <w:rPr>
          <w:rFonts w:ascii="Arial" w:hAnsi="Arial" w:cs="Arial"/>
        </w:rPr>
        <w:t>___________________</w:t>
      </w:r>
    </w:p>
    <w:p w14:paraId="16BC15D0" w14:textId="77777777" w:rsidR="00907947" w:rsidRPr="00907947" w:rsidRDefault="00907947" w:rsidP="00907947">
      <w:pPr>
        <w:jc w:val="both"/>
        <w:rPr>
          <w:rFonts w:ascii="Arial" w:hAnsi="Arial" w:cs="Arial"/>
        </w:rPr>
      </w:pPr>
      <w:r w:rsidRPr="00907947">
        <w:rPr>
          <w:rFonts w:ascii="Arial" w:hAnsi="Arial" w:cs="Arial"/>
        </w:rPr>
        <w:t>Nombre:</w:t>
      </w:r>
    </w:p>
    <w:p w14:paraId="489D82A9" w14:textId="77777777" w:rsidR="00907947" w:rsidRPr="00907947" w:rsidRDefault="00907947" w:rsidP="00907947">
      <w:pPr>
        <w:jc w:val="both"/>
        <w:rPr>
          <w:rFonts w:ascii="Arial" w:hAnsi="Arial" w:cs="Arial"/>
        </w:rPr>
      </w:pPr>
      <w:r w:rsidRPr="00907947">
        <w:rPr>
          <w:rFonts w:ascii="Arial" w:hAnsi="Arial" w:cs="Arial"/>
        </w:rPr>
        <w:t>Título:</w:t>
      </w:r>
    </w:p>
    <w:p w14:paraId="5DAA6CC7" w14:textId="77777777" w:rsidR="00907947" w:rsidRPr="00907947" w:rsidRDefault="00907947" w:rsidP="00907947">
      <w:pPr>
        <w:jc w:val="both"/>
        <w:rPr>
          <w:rFonts w:ascii="Arial" w:hAnsi="Arial" w:cs="Arial"/>
        </w:rPr>
      </w:pPr>
      <w:r w:rsidRPr="00907947">
        <w:rPr>
          <w:rFonts w:ascii="Arial" w:hAnsi="Arial" w:cs="Arial"/>
        </w:rPr>
        <w:t>Fecha:</w:t>
      </w:r>
    </w:p>
    <w:sectPr w:rsidR="00907947" w:rsidRPr="0090794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6BA2E" w14:textId="77777777" w:rsidR="00AE0265" w:rsidRDefault="00AE0265" w:rsidP="00907947">
      <w:pPr>
        <w:spacing w:after="0" w:line="240" w:lineRule="auto"/>
      </w:pPr>
      <w:r>
        <w:separator/>
      </w:r>
    </w:p>
  </w:endnote>
  <w:endnote w:type="continuationSeparator" w:id="0">
    <w:p w14:paraId="02333386" w14:textId="77777777" w:rsidR="00AE0265" w:rsidRDefault="00AE0265" w:rsidP="0090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F53C5" w14:textId="77777777" w:rsidR="00AE0265" w:rsidRDefault="00AE0265" w:rsidP="00907947">
      <w:pPr>
        <w:spacing w:after="0" w:line="240" w:lineRule="auto"/>
      </w:pPr>
      <w:r>
        <w:separator/>
      </w:r>
    </w:p>
  </w:footnote>
  <w:footnote w:type="continuationSeparator" w:id="0">
    <w:p w14:paraId="64C632CB" w14:textId="77777777" w:rsidR="00AE0265" w:rsidRDefault="00AE0265" w:rsidP="00907947">
      <w:pPr>
        <w:spacing w:after="0" w:line="240" w:lineRule="auto"/>
      </w:pPr>
      <w:r>
        <w:continuationSeparator/>
      </w:r>
    </w:p>
  </w:footnote>
  <w:footnote w:id="1">
    <w:p w14:paraId="570CFDD3" w14:textId="77777777" w:rsidR="00907947" w:rsidRPr="009738A0" w:rsidRDefault="00907947" w:rsidP="009738A0">
      <w:pPr>
        <w:pStyle w:val="Textonotapie"/>
        <w:jc w:val="both"/>
        <w:rPr>
          <w:rFonts w:ascii="Arial" w:hAnsi="Arial" w:cs="Arial"/>
          <w:lang w:val="es-419"/>
        </w:rPr>
      </w:pPr>
      <w:r w:rsidRPr="009738A0">
        <w:rPr>
          <w:rStyle w:val="Refdenotaalpie"/>
          <w:rFonts w:ascii="Arial" w:hAnsi="Arial" w:cs="Arial"/>
        </w:rPr>
        <w:footnoteRef/>
      </w:r>
      <w:r w:rsidRPr="009738A0">
        <w:rPr>
          <w:rFonts w:ascii="Arial" w:hAnsi="Arial" w:cs="Arial"/>
        </w:rPr>
        <w:t xml:space="preserve"> "Socios comerciales" se define como todos los terceros con los que la Compañía ha entablado o contempla entablar una relación comercial, incluidos agentes, buscadores, distribuidores, consultores, socios de empresas conjuntas, </w:t>
      </w:r>
      <w:proofErr w:type="spellStart"/>
      <w:r w:rsidRPr="009738A0">
        <w:rPr>
          <w:rFonts w:ascii="Arial" w:hAnsi="Arial" w:cs="Arial"/>
        </w:rPr>
        <w:t>coinversores</w:t>
      </w:r>
      <w:proofErr w:type="spellEnd"/>
      <w:r w:rsidRPr="009738A0">
        <w:rPr>
          <w:rFonts w:ascii="Arial" w:hAnsi="Arial" w:cs="Arial"/>
        </w:rPr>
        <w:t>, representantes y otros terceros que puede actuar en nombre de la Compañía y quién puede interactuar con los Funcionarios del Gobierno dentro del alcance de su compromiso con la Compañía.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226"/>
      <w:gridCol w:w="4143"/>
      <w:gridCol w:w="2981"/>
    </w:tblGrid>
    <w:tr w:rsidR="00667308" w14:paraId="1AB2AD3F" w14:textId="77777777" w:rsidTr="00667308">
      <w:tc>
        <w:tcPr>
          <w:tcW w:w="1838" w:type="dxa"/>
          <w:vMerge w:val="restart"/>
        </w:tcPr>
        <w:p w14:paraId="39B2E3EE" w14:textId="184558E6" w:rsidR="00667308" w:rsidRDefault="00E05BF7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770413A" wp14:editId="7116B363">
                <wp:extent cx="1269328" cy="558800"/>
                <wp:effectExtent l="0" t="0" r="7620" b="0"/>
                <wp:docPr id="877285099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7285099" name="Imagen 1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684" cy="56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gridSpan w:val="2"/>
        </w:tcPr>
        <w:p w14:paraId="69250883" w14:textId="77777777" w:rsidR="00667308" w:rsidRPr="00667308" w:rsidRDefault="00667308" w:rsidP="00667308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667308">
            <w:rPr>
              <w:rFonts w:ascii="Arial" w:hAnsi="Arial" w:cs="Arial"/>
              <w:b/>
              <w:color w:val="000000" w:themeColor="text1"/>
            </w:rPr>
            <w:t>CARTA DE NOTIFICACIÓN A LOS SOCIOS COMERCIALES: POLÍTICA DE CUMPLIMIENTO COMERCIAL DE GRUPO NETAFIM</w:t>
          </w:r>
        </w:p>
        <w:p w14:paraId="68B2494B" w14:textId="77777777" w:rsidR="00667308" w:rsidRPr="00667308" w:rsidRDefault="00667308" w:rsidP="00667308">
          <w:pPr>
            <w:pStyle w:val="Encabezado"/>
            <w:ind w:firstLine="708"/>
          </w:pPr>
        </w:p>
      </w:tc>
    </w:tr>
    <w:tr w:rsidR="00667308" w14:paraId="54933E28" w14:textId="77777777" w:rsidTr="00667308">
      <w:tc>
        <w:tcPr>
          <w:tcW w:w="1838" w:type="dxa"/>
          <w:vMerge/>
        </w:tcPr>
        <w:p w14:paraId="53AD0C0C" w14:textId="77777777" w:rsidR="00667308" w:rsidRDefault="00667308">
          <w:pPr>
            <w:pStyle w:val="Encabezado"/>
          </w:pPr>
        </w:p>
      </w:tc>
      <w:tc>
        <w:tcPr>
          <w:tcW w:w="4395" w:type="dxa"/>
        </w:tcPr>
        <w:p w14:paraId="30B4111C" w14:textId="5E5CB144" w:rsidR="00667308" w:rsidRDefault="00667308" w:rsidP="00667308">
          <w:pPr>
            <w:pStyle w:val="Encabezado"/>
            <w:jc w:val="center"/>
          </w:pPr>
          <w:r>
            <w:t>Código: GLE-F-03</w:t>
          </w:r>
        </w:p>
      </w:tc>
      <w:tc>
        <w:tcPr>
          <w:tcW w:w="3117" w:type="dxa"/>
        </w:tcPr>
        <w:p w14:paraId="1313571A" w14:textId="69E5C406" w:rsidR="00667308" w:rsidRDefault="00667308" w:rsidP="00667308">
          <w:pPr>
            <w:pStyle w:val="Encabezado"/>
            <w:jc w:val="center"/>
          </w:pPr>
          <w:r>
            <w:t>Versión 01</w:t>
          </w:r>
        </w:p>
        <w:p w14:paraId="07013678" w14:textId="5EDD12B8" w:rsidR="00667308" w:rsidRDefault="00667308" w:rsidP="00667308">
          <w:pPr>
            <w:pStyle w:val="Encabezado"/>
            <w:jc w:val="center"/>
          </w:pPr>
          <w:r>
            <w:t>Vigente desde el 2</w:t>
          </w:r>
          <w:r w:rsidR="005D1128">
            <w:t>4</w:t>
          </w:r>
          <w:r>
            <w:t>.04.2025</w:t>
          </w:r>
        </w:p>
      </w:tc>
    </w:tr>
  </w:tbl>
  <w:p w14:paraId="0F8A390D" w14:textId="77777777" w:rsidR="00667308" w:rsidRDefault="006673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C1A91"/>
    <w:multiLevelType w:val="hybridMultilevel"/>
    <w:tmpl w:val="605C1D84"/>
    <w:lvl w:ilvl="0" w:tplc="FDD6C24C">
      <w:start w:val="1"/>
      <w:numFmt w:val="lowerLetter"/>
      <w:lvlText w:val="%1."/>
      <w:lvlJc w:val="left"/>
      <w:pPr>
        <w:ind w:left="730" w:hanging="37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43D90"/>
    <w:multiLevelType w:val="hybridMultilevel"/>
    <w:tmpl w:val="FB86E0B0"/>
    <w:lvl w:ilvl="0" w:tplc="080A0019">
      <w:start w:val="1"/>
      <w:numFmt w:val="lowerLetter"/>
      <w:lvlText w:val="%1.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6075456"/>
    <w:multiLevelType w:val="hybridMultilevel"/>
    <w:tmpl w:val="384E9BE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234D4"/>
    <w:multiLevelType w:val="hybridMultilevel"/>
    <w:tmpl w:val="B90C6F3C"/>
    <w:lvl w:ilvl="0" w:tplc="080A0019">
      <w:start w:val="1"/>
      <w:numFmt w:val="lowerLetter"/>
      <w:lvlText w:val="%1.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47"/>
    <w:rsid w:val="000327E4"/>
    <w:rsid w:val="000509B3"/>
    <w:rsid w:val="000A114C"/>
    <w:rsid w:val="0015082C"/>
    <w:rsid w:val="002B73DD"/>
    <w:rsid w:val="00380DC7"/>
    <w:rsid w:val="00387BA5"/>
    <w:rsid w:val="0045769B"/>
    <w:rsid w:val="004924C2"/>
    <w:rsid w:val="005D1128"/>
    <w:rsid w:val="00602DE5"/>
    <w:rsid w:val="00604E25"/>
    <w:rsid w:val="00624A9F"/>
    <w:rsid w:val="0066078F"/>
    <w:rsid w:val="00667308"/>
    <w:rsid w:val="006F5F52"/>
    <w:rsid w:val="00720ABF"/>
    <w:rsid w:val="0073524F"/>
    <w:rsid w:val="007A2F4F"/>
    <w:rsid w:val="007D7E30"/>
    <w:rsid w:val="00803169"/>
    <w:rsid w:val="00817230"/>
    <w:rsid w:val="00890165"/>
    <w:rsid w:val="008E6B66"/>
    <w:rsid w:val="00907947"/>
    <w:rsid w:val="009738A0"/>
    <w:rsid w:val="00A25C5D"/>
    <w:rsid w:val="00A53B41"/>
    <w:rsid w:val="00A73BF9"/>
    <w:rsid w:val="00AE0265"/>
    <w:rsid w:val="00B606B3"/>
    <w:rsid w:val="00BA0C06"/>
    <w:rsid w:val="00BA1A37"/>
    <w:rsid w:val="00C60EC9"/>
    <w:rsid w:val="00C654E0"/>
    <w:rsid w:val="00CF7D8A"/>
    <w:rsid w:val="00D37C6F"/>
    <w:rsid w:val="00D54E71"/>
    <w:rsid w:val="00E05BF7"/>
    <w:rsid w:val="00EA002C"/>
    <w:rsid w:val="00EE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7694C"/>
  <w15:chartTrackingRefBased/>
  <w15:docId w15:val="{2CBAEEE0-0FC7-4B7A-BDD7-92C4B236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079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0794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07947"/>
    <w:rPr>
      <w:vertAlign w:val="superscript"/>
    </w:rPr>
  </w:style>
  <w:style w:type="paragraph" w:styleId="Prrafodelista">
    <w:name w:val="List Paragraph"/>
    <w:basedOn w:val="Normal"/>
    <w:uiPriority w:val="34"/>
    <w:qFormat/>
    <w:rsid w:val="009738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67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7308"/>
  </w:style>
  <w:style w:type="paragraph" w:styleId="Piedepgina">
    <w:name w:val="footer"/>
    <w:basedOn w:val="Normal"/>
    <w:link w:val="PiedepginaCar"/>
    <w:uiPriority w:val="99"/>
    <w:unhideWhenUsed/>
    <w:rsid w:val="00667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308"/>
  </w:style>
  <w:style w:type="table" w:styleId="Tablaconcuadrcula">
    <w:name w:val="Table Grid"/>
    <w:basedOn w:val="Tablanormal"/>
    <w:uiPriority w:val="39"/>
    <w:rsid w:val="0066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D7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0C3AF-D07C-400D-97C9-FCF59633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Netafim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 Moreira</dc:creator>
  <cp:keywords/>
  <dc:description/>
  <cp:lastModifiedBy>FEBMS FEBMS</cp:lastModifiedBy>
  <cp:revision>2</cp:revision>
  <dcterms:created xsi:type="dcterms:W3CDTF">2025-04-29T16:19:00Z</dcterms:created>
  <dcterms:modified xsi:type="dcterms:W3CDTF">2025-04-29T16:19:00Z</dcterms:modified>
</cp:coreProperties>
</file>